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rFonts w:ascii="Montserrat" w:cs="Montserrat" w:eastAsia="Montserrat" w:hAnsi="Montserrat"/>
          <w:sz w:val="30"/>
          <w:szCs w:val="30"/>
        </w:rPr>
      </w:pPr>
      <w:r w:rsidDel="00000000" w:rsidR="00000000" w:rsidRPr="00000000">
        <w:rPr>
          <w:rFonts w:ascii="Montserrat" w:cs="Montserrat" w:eastAsia="Montserrat" w:hAnsi="Montserrat"/>
          <w:sz w:val="30"/>
          <w:szCs w:val="30"/>
          <w:rtl w:val="0"/>
        </w:rPr>
        <w:t xml:space="preserve">Resumen en Prosa – “Domine la IA y cree contenido visual inolvidable”</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both"/>
        <w:rPr>
          <w:rFonts w:ascii="Montserrat" w:cs="Montserrat" w:eastAsia="Montserrat" w:hAnsi="Montserrat"/>
        </w:rPr>
      </w:pPr>
      <w:r w:rsidDel="00000000" w:rsidR="00000000" w:rsidRPr="00000000">
        <w:rPr>
          <w:rFonts w:ascii="Montserrat" w:cs="Montserrat" w:eastAsia="Montserrat" w:hAnsi="Montserrat"/>
          <w:rtl w:val="0"/>
        </w:rPr>
        <w:t xml:space="preserve">La presentación “Crear imágenes y videos con IA para emprendedores”, impartida por Gustavo Arrieta Quesada, plantea que la inteligencia artificial puede convertirse en una herramienta estratégica para que pequeñas y medianas empresas desarrollen contenido visual coherente con su identidad de marca. El enfoque central del curso consiste en aprender a dirigir la IA desde la perspectiva de la dirección creativa y no solamente desde la técnica. Según la propuesta, la IA no crea marcas por sí sola, sino que amplifica las decisiones visuales y conceptuales tomadas por quienes diseñan la comunicación de una empresa.</w:t>
      </w:r>
    </w:p>
    <w:p w:rsidR="00000000" w:rsidDel="00000000" w:rsidP="00000000" w:rsidRDefault="00000000" w:rsidRPr="00000000" w14:paraId="00000004">
      <w:pPr>
        <w:jc w:val="both"/>
        <w:rPr>
          <w:rFonts w:ascii="Montserrat" w:cs="Montserrat" w:eastAsia="Montserrat" w:hAnsi="Montserrat"/>
        </w:rPr>
      </w:pPr>
      <w:r w:rsidDel="00000000" w:rsidR="00000000" w:rsidRPr="00000000">
        <w:rPr>
          <w:rFonts w:ascii="Montserrat" w:cs="Montserrat" w:eastAsia="Montserrat" w:hAnsi="Montserrat"/>
          <w:rtl w:val="0"/>
        </w:rPr>
        <w:t xml:space="preserve">El curso parte de la importancia de construir una identidad visual sólida antes de generar imágenes o videos. Se enfatiza que toda decisión visual debe estar respaldada por el conocimiento del público objetivo y por la comprensión del problema o necesidad que la marca busca resolver. A partir de esta idea, se explica cómo un moodboard puede convertirse en la base para traducir emociones, sensaciones y valores de marca en instrucciones claras para herramientas de inteligencia artificial.</w:t>
      </w:r>
    </w:p>
    <w:p w:rsidR="00000000" w:rsidDel="00000000" w:rsidP="00000000" w:rsidRDefault="00000000" w:rsidRPr="00000000" w14:paraId="00000005">
      <w:pPr>
        <w:jc w:val="both"/>
        <w:rPr>
          <w:rFonts w:ascii="Montserrat" w:cs="Montserrat" w:eastAsia="Montserrat" w:hAnsi="Montserrat"/>
        </w:rPr>
      </w:pPr>
      <w:r w:rsidDel="00000000" w:rsidR="00000000" w:rsidRPr="00000000">
        <w:rPr>
          <w:rFonts w:ascii="Montserrat" w:cs="Montserrat" w:eastAsia="Montserrat" w:hAnsi="Montserrat"/>
          <w:rtl w:val="0"/>
        </w:rPr>
        <w:t xml:space="preserve">Para ejemplificar el proceso, se utiliza una marca ficticia llamada “Raíz”, dedicada a la creación de carteras y bolsos artesanales de cuero. La identidad de esta marca se define a partir de conceptos como calidez, autenticidad, cercanía y confianza. Su personalidad se describe como la de una artesana costarricense madura, segura de su oficio y conectada con lo hecho a mano. También se desarrolla un lenguaje visual específico basado en materiales orgánicos, iluminación cálida y texturas naturales como cuero, madera y lino.</w:t>
      </w:r>
    </w:p>
    <w:p w:rsidR="00000000" w:rsidDel="00000000" w:rsidP="00000000" w:rsidRDefault="00000000" w:rsidRPr="00000000" w14:paraId="00000006">
      <w:pPr>
        <w:jc w:val="both"/>
        <w:rPr>
          <w:rFonts w:ascii="Montserrat" w:cs="Montserrat" w:eastAsia="Montserrat" w:hAnsi="Montserrat"/>
        </w:rPr>
      </w:pPr>
      <w:r w:rsidDel="00000000" w:rsidR="00000000" w:rsidRPr="00000000">
        <w:rPr>
          <w:rFonts w:ascii="Montserrat" w:cs="Montserrat" w:eastAsia="Montserrat" w:hAnsi="Montserrat"/>
          <w:rtl w:val="0"/>
        </w:rPr>
        <w:t xml:space="preserve">La presentación explica cómo traducir emociones abstractas en decisiones visuales concretas. Por ejemplo, si una marca busca transmitir calidez y humanidad, esto debe reflejarse en el tipo de iluminación, la selección de colores, la cercanía de la cámara y las texturas presentes en la imagen. En contraste, una marca de suplementos deportivos requeriría una estética basada en energía, movimiento, luces de alto contraste y composiciones más agresivas. De esta manera, se demuestra que cada identidad visual exige decisiones diferentes.</w:t>
      </w:r>
    </w:p>
    <w:p w:rsidR="00000000" w:rsidDel="00000000" w:rsidP="00000000" w:rsidRDefault="00000000" w:rsidRPr="00000000" w14:paraId="00000007">
      <w:pPr>
        <w:jc w:val="both"/>
        <w:rPr>
          <w:rFonts w:ascii="Montserrat" w:cs="Montserrat" w:eastAsia="Montserrat" w:hAnsi="Montserrat"/>
        </w:rPr>
      </w:pPr>
      <w:r w:rsidDel="00000000" w:rsidR="00000000" w:rsidRPr="00000000">
        <w:rPr>
          <w:rFonts w:ascii="Montserrat" w:cs="Montserrat" w:eastAsia="Montserrat" w:hAnsi="Montserrat"/>
          <w:rtl w:val="0"/>
        </w:rPr>
        <w:t xml:space="preserve">Uno de los puntos centrales de la charla es la construcción de prompts. Se explica que un prompt efectivo no debe entenderse únicamente como una descripción técnica, sino como una traducción escrita de una intención visual. Para facilitar este proceso, se propone una estructura sencilla compuesta por sujeto, contexto, paleta de color, textura, iluminación, estilo fotográfico, emoción y formato. A través del ejemplo de “Raíz”, se demuestra cómo un prompt detallado puede generar imágenes coherentes con la identidad de la marca.</w:t>
      </w:r>
    </w:p>
    <w:p w:rsidR="00000000" w:rsidDel="00000000" w:rsidP="00000000" w:rsidRDefault="00000000" w:rsidRPr="00000000" w14:paraId="00000008">
      <w:pPr>
        <w:jc w:val="both"/>
        <w:rPr>
          <w:rFonts w:ascii="Montserrat" w:cs="Montserrat" w:eastAsia="Montserrat" w:hAnsi="Montserrat"/>
        </w:rPr>
      </w:pPr>
      <w:r w:rsidDel="00000000" w:rsidR="00000000" w:rsidRPr="00000000">
        <w:rPr>
          <w:rFonts w:ascii="Montserrat" w:cs="Montserrat" w:eastAsia="Montserrat" w:hAnsi="Montserrat"/>
          <w:rtl w:val="0"/>
        </w:rPr>
        <w:t xml:space="preserve">Además, se introducen conceptos básicos del lenguaje visual y fotográfico para mejorar la comunicación con las herramientas de IA. Se mencionan términos relacionados con tipos de plano, calidad de luz, profundidad de campo y estilos fotográficos como editorial, documental o de producto. La intención es que los emprendedores puedan describir con mayor precisión aquello que desean generar visualmente.</w:t>
      </w:r>
    </w:p>
    <w:p w:rsidR="00000000" w:rsidDel="00000000" w:rsidP="00000000" w:rsidRDefault="00000000" w:rsidRPr="00000000" w14:paraId="00000009">
      <w:pPr>
        <w:jc w:val="both"/>
        <w:rPr>
          <w:rFonts w:ascii="Montserrat" w:cs="Montserrat" w:eastAsia="Montserrat" w:hAnsi="Montserrat"/>
        </w:rPr>
      </w:pPr>
      <w:r w:rsidDel="00000000" w:rsidR="00000000" w:rsidRPr="00000000">
        <w:rPr>
          <w:rFonts w:ascii="Montserrat" w:cs="Montserrat" w:eastAsia="Montserrat" w:hAnsi="Montserrat"/>
          <w:rtl w:val="0"/>
        </w:rPr>
        <w:t xml:space="preserve">La presentación también incluye una comparación de distintas plataformas de generación de imágenes y videos mediante inteligencia artificial. En el caso de imágenes, se analizan herramientas como ChatGPT Image, Midjourney V7, Flux 2 Max y Magnific, diferenciándolas según facilidad de uso, calidad visual y costos. Se recomienda ChatGPT Image para necesidades rápidas y accesibles, mientras que Midjourney y Flux son sugeridos para proyectos que buscan una estética más sofisticada y competitiva.</w:t>
      </w:r>
    </w:p>
    <w:p w:rsidR="00000000" w:rsidDel="00000000" w:rsidP="00000000" w:rsidRDefault="00000000" w:rsidRPr="00000000" w14:paraId="0000000A">
      <w:pPr>
        <w:jc w:val="both"/>
        <w:rPr>
          <w:rFonts w:ascii="Montserrat" w:cs="Montserrat" w:eastAsia="Montserrat" w:hAnsi="Montserrat"/>
        </w:rPr>
      </w:pPr>
      <w:r w:rsidDel="00000000" w:rsidR="00000000" w:rsidRPr="00000000">
        <w:rPr>
          <w:rFonts w:ascii="Montserrat" w:cs="Montserrat" w:eastAsia="Montserrat" w:hAnsi="Montserrat"/>
          <w:rtl w:val="0"/>
        </w:rPr>
        <w:t xml:space="preserve">En cuanto a generación de video, se mencionan plataformas como Google Veo 3.1, Runway Gen-3 Alpha, WaveSpeed AI y Luma Dream Machine. La exposición sugiere que algunas herramientas son más adecuadas para principiantes por su facilidad de uso, mientras que otras ofrecen mayor control cinematográfico y consistencia visual. Se insiste en que la capacidad de describir correctamente lo que se desea visualizar es más importante que dominar procesos técnicos complejos de edición.</w:t>
      </w:r>
    </w:p>
    <w:p w:rsidR="00000000" w:rsidDel="00000000" w:rsidP="00000000" w:rsidRDefault="00000000" w:rsidRPr="00000000" w14:paraId="0000000B">
      <w:pPr>
        <w:jc w:val="both"/>
        <w:rPr>
          <w:rFonts w:ascii="Montserrat" w:cs="Montserrat" w:eastAsia="Montserrat" w:hAnsi="Montserrat"/>
        </w:rPr>
      </w:pPr>
      <w:r w:rsidDel="00000000" w:rsidR="00000000" w:rsidRPr="00000000">
        <w:rPr>
          <w:rFonts w:ascii="Montserrat" w:cs="Montserrat" w:eastAsia="Montserrat" w:hAnsi="Montserrat"/>
          <w:rtl w:val="0"/>
        </w:rPr>
        <w:t xml:space="preserve">Posteriormente, la charla muestra un ejercicio práctico en el que una imagen previamente generada es utilizada como base para crear un video mediante técnicas de image-to-video. El ejemplo detalla cómo describir movimientos de cámara, atmósferas visuales, profundidad de campo y sensaciones cinematográficas para producir un video de apariencia profesional y coherente con la identidad visual de la marca.</w:t>
      </w:r>
    </w:p>
    <w:p w:rsidR="00000000" w:rsidDel="00000000" w:rsidP="00000000" w:rsidRDefault="00000000" w:rsidRPr="00000000" w14:paraId="0000000C">
      <w:pPr>
        <w:jc w:val="both"/>
        <w:rPr>
          <w:rFonts w:ascii="Montserrat" w:cs="Montserrat" w:eastAsia="Montserrat" w:hAnsi="Montserrat"/>
        </w:rPr>
      </w:pPr>
      <w:r w:rsidDel="00000000" w:rsidR="00000000" w:rsidRPr="00000000">
        <w:rPr>
          <w:rFonts w:ascii="Montserrat" w:cs="Montserrat" w:eastAsia="Montserrat" w:hAnsi="Montserrat"/>
          <w:rtl w:val="0"/>
        </w:rPr>
        <w:t xml:space="preserve">Finalmente, la presentación reflexiona sobre los riesgos asociados al uso indiscriminado de la inteligencia artificial. Se advierte que el exceso de automatización puede provocar contenido genérico, pérdida de autenticidad e inconsistencias visuales. Por ello, se concluye que, aunque las herramientas tecnológicas evolucionen rápidamente, el criterio visual y la dirección creativa continúan siendo los elementos más importantes para construir una identidad sólida y diferenciada.</w:t>
      </w:r>
    </w:p>
    <w:p w:rsidR="00000000" w:rsidDel="00000000" w:rsidP="00000000" w:rsidRDefault="00000000" w:rsidRPr="00000000" w14:paraId="0000000D">
      <w:pPr>
        <w:pStyle w:val="Heading2"/>
        <w:jc w:val="both"/>
        <w:rPr>
          <w:rFonts w:ascii="Montserrat" w:cs="Montserrat" w:eastAsia="Montserrat" w:hAnsi="Montserrat"/>
          <w:sz w:val="22"/>
          <w:szCs w:val="22"/>
        </w:rPr>
      </w:pPr>
      <w:r w:rsidDel="00000000" w:rsidR="00000000" w:rsidRPr="00000000">
        <w:rPr>
          <w:rFonts w:ascii="Montserrat" w:cs="Montserrat" w:eastAsia="Montserrat" w:hAnsi="Montserrat"/>
          <w:sz w:val="22"/>
          <w:szCs w:val="22"/>
          <w:rtl w:val="0"/>
        </w:rPr>
        <w:t xml:space="preserve">Conclusión</w:t>
      </w:r>
    </w:p>
    <w:p w:rsidR="00000000" w:rsidDel="00000000" w:rsidP="00000000" w:rsidRDefault="00000000" w:rsidRPr="00000000" w14:paraId="0000000E">
      <w:pPr>
        <w:jc w:val="both"/>
        <w:rPr>
          <w:rFonts w:ascii="Montserrat" w:cs="Montserrat" w:eastAsia="Montserrat" w:hAnsi="Montserrat"/>
        </w:rPr>
      </w:pPr>
      <w:r w:rsidDel="00000000" w:rsidR="00000000" w:rsidRPr="00000000">
        <w:rPr>
          <w:rFonts w:ascii="Montserrat" w:cs="Montserrat" w:eastAsia="Montserrat" w:hAnsi="Montserrat"/>
          <w:rtl w:val="0"/>
        </w:rPr>
        <w:t xml:space="preserve">La conferencia propone que la inteligencia artificial debe entenderse como una extensión de la creatividad humana y no como un reemplazo de la visión estratégica de una marca. El verdadero valor surge cuando las herramientas tecnológicas son guiadas por decisiones conscientes de dirección visual, narrativa y emocional.</w:t>
      </w:r>
    </w:p>
    <w:sectPr>
      <w:pgSz w:h="15840" w:w="12240" w:orient="portrait"/>
      <w:pgMar w:bottom="1440" w:top="1440" w:left="1800" w:right="180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Calibri"/>
  <w:font w:name="Montserra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mbria" w:cs="Cambria" w:eastAsia="Cambria" w:hAnsi="Cambria"/>
        <w:sz w:val="22"/>
        <w:szCs w:val="22"/>
        <w:lang w:val="en"/>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480" w:lineRule="auto"/>
    </w:pPr>
    <w:rPr>
      <w:rFonts w:ascii="Calibri" w:cs="Calibri" w:eastAsia="Calibri" w:hAnsi="Calibri"/>
      <w:b w:val="1"/>
      <w:bCs w:val="1"/>
      <w:color w:val="366091"/>
      <w:sz w:val="28"/>
      <w:szCs w:val="28"/>
    </w:rPr>
  </w:style>
  <w:style w:type="paragraph" w:styleId="Heading2">
    <w:name w:val="heading 2"/>
    <w:basedOn w:val="Normal"/>
    <w:next w:val="Normal"/>
    <w:pPr>
      <w:keepNext w:val="1"/>
      <w:keepLines w:val="1"/>
      <w:spacing w:after="0" w:before="200" w:lineRule="auto"/>
    </w:pPr>
    <w:rPr>
      <w:rFonts w:ascii="Calibri" w:cs="Calibri" w:eastAsia="Calibri" w:hAnsi="Calibri"/>
      <w:b w:val="1"/>
      <w:bCs w:val="1"/>
      <w:color w:val="4f81bd"/>
      <w:sz w:val="26"/>
      <w:szCs w:val="26"/>
    </w:rPr>
  </w:style>
  <w:style w:type="paragraph" w:styleId="Heading3">
    <w:name w:val="heading 3"/>
    <w:basedOn w:val="Normal"/>
    <w:next w:val="Normal"/>
    <w:pPr>
      <w:keepNext w:val="1"/>
      <w:keepLines w:val="1"/>
      <w:spacing w:after="0" w:before="200" w:lineRule="auto"/>
    </w:pPr>
    <w:rPr>
      <w:rFonts w:ascii="Calibri" w:cs="Calibri" w:eastAsia="Calibri" w:hAnsi="Calibri"/>
      <w:b w:val="1"/>
      <w:bCs w:val="1"/>
      <w:color w:val="4f81bd"/>
    </w:rPr>
  </w:style>
  <w:style w:type="paragraph" w:styleId="Heading4">
    <w:name w:val="heading 4"/>
    <w:basedOn w:val="Normal"/>
    <w:next w:val="Normal"/>
    <w:pPr>
      <w:keepNext w:val="1"/>
      <w:keepLines w:val="1"/>
      <w:spacing w:after="0" w:before="200" w:lineRule="auto"/>
    </w:pPr>
    <w:rPr>
      <w:rFonts w:ascii="Calibri" w:cs="Calibri" w:eastAsia="Calibri" w:hAnsi="Calibri"/>
      <w:b w:val="1"/>
      <w:bCs w:val="1"/>
      <w:i w:val="1"/>
      <w:iCs w:val="1"/>
      <w:color w:val="4f81bd"/>
    </w:rPr>
  </w:style>
  <w:style w:type="paragraph" w:styleId="Heading5">
    <w:name w:val="heading 5"/>
    <w:basedOn w:val="Normal"/>
    <w:next w:val="Normal"/>
    <w:pPr>
      <w:keepNext w:val="1"/>
      <w:keepLines w:val="1"/>
      <w:spacing w:after="0" w:before="200" w:lineRule="auto"/>
    </w:pPr>
    <w:rPr>
      <w:rFonts w:ascii="Calibri" w:cs="Calibri" w:eastAsia="Calibri" w:hAnsi="Calibri"/>
      <w:color w:val="243f61"/>
    </w:rPr>
  </w:style>
  <w:style w:type="paragraph" w:styleId="Heading6">
    <w:name w:val="heading 6"/>
    <w:basedOn w:val="Normal"/>
    <w:next w:val="Normal"/>
    <w:pPr>
      <w:keepNext w:val="1"/>
      <w:keepLines w:val="1"/>
      <w:spacing w:after="0" w:before="200" w:lineRule="auto"/>
    </w:pPr>
    <w:rPr>
      <w:rFonts w:ascii="Calibri" w:cs="Calibri" w:eastAsia="Calibri" w:hAnsi="Calibri"/>
      <w:i w:val="1"/>
      <w:iCs w:val="1"/>
      <w:color w:val="243f61"/>
    </w:rPr>
  </w:style>
  <w:style w:type="paragraph" w:styleId="Title">
    <w:name w:val="Title"/>
    <w:basedOn w:val="Normal"/>
    <w:next w:val="Normal"/>
    <w:pPr>
      <w:pBdr>
        <w:bottom w:color="4f81bd" w:space="4" w:sz="8" w:val="single"/>
      </w:pBdr>
      <w:spacing w:after="300" w:line="240" w:lineRule="auto"/>
    </w:pPr>
    <w:rPr>
      <w:rFonts w:ascii="Calibri" w:cs="Calibri" w:eastAsia="Calibri" w:hAnsi="Calibri"/>
      <w:color w:val="17365d"/>
      <w:sz w:val="52"/>
      <w:szCs w:val="52"/>
    </w:rPr>
  </w:style>
  <w:style w:type="paragraph" w:styleId="Subtitle">
    <w:name w:val="Subtitle"/>
    <w:basedOn w:val="Normal"/>
    <w:next w:val="Normal"/>
    <w:pPr/>
    <w:rPr>
      <w:rFonts w:ascii="Calibri" w:cs="Calibri" w:eastAsia="Calibri" w:hAnsi="Calibri"/>
      <w:i w:val="1"/>
      <w:iCs w:val="1"/>
      <w:color w:val="4f81bd"/>
      <w:sz w:val="24"/>
      <w:szCs w:val="24"/>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Montserrat-regular.ttf"/><Relationship Id="rId2" Type="http://schemas.openxmlformats.org/officeDocument/2006/relationships/font" Target="fonts/Montserrat-bold.ttf"/><Relationship Id="rId3" Type="http://schemas.openxmlformats.org/officeDocument/2006/relationships/font" Target="fonts/Montserrat-italic.ttf"/><Relationship Id="rId4" Type="http://schemas.openxmlformats.org/officeDocument/2006/relationships/font" Target="fonts/Montserrat-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FxZ2L1xRMcniokf3i1m5UakYI6g==">CgMxLjA4AHIhMW9IWjNlVU91NzkzQVVNRjgzWTdfZjNPelY0NlhNSTgw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